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0AF24" w14:textId="77777777" w:rsidR="006B14A1" w:rsidRPr="000F67D7" w:rsidRDefault="000F67D7" w:rsidP="000F67D7">
      <w:pPr>
        <w:rPr>
          <w:rFonts w:ascii="Museo 300" w:hAnsi="Museo 300"/>
          <w:b/>
          <w:color w:val="0000CC"/>
          <w:sz w:val="30"/>
          <w:szCs w:val="30"/>
        </w:rPr>
      </w:pPr>
      <w:r w:rsidRPr="000F67D7">
        <w:rPr>
          <w:rFonts w:ascii="Museo 300" w:hAnsi="Museo 300"/>
          <w:b/>
          <w:noProof/>
          <w:color w:val="0000CC"/>
          <w:sz w:val="30"/>
          <w:szCs w:val="30"/>
          <w:lang w:val="it-IT" w:eastAsia="it-IT" w:bidi="ar-SA"/>
        </w:rPr>
        <w:drawing>
          <wp:anchor distT="0" distB="0" distL="114300" distR="114300" simplePos="0" relativeHeight="251658240" behindDoc="0" locked="0" layoutInCell="1" allowOverlap="1" wp14:anchorId="6C080871" wp14:editId="0B38C739">
            <wp:simplePos x="0" y="0"/>
            <wp:positionH relativeFrom="column">
              <wp:posOffset>54610</wp:posOffset>
            </wp:positionH>
            <wp:positionV relativeFrom="paragraph">
              <wp:posOffset>16510</wp:posOffset>
            </wp:positionV>
            <wp:extent cx="1198880" cy="1435735"/>
            <wp:effectExtent l="57150" t="19050" r="20320" b="0"/>
            <wp:wrapThrough wrapText="bothSides">
              <wp:wrapPolygon edited="0">
                <wp:start x="-1030" y="-287"/>
                <wp:lineTo x="-1030" y="21208"/>
                <wp:lineTo x="21966" y="21208"/>
                <wp:lineTo x="21966" y="-287"/>
                <wp:lineTo x="-1030" y="-287"/>
              </wp:wrapPolygon>
            </wp:wrapThrough>
            <wp:docPr id="1" name="Immagine 0" descr="Scudetto a 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detto a color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43573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B w="114300" prst="artDeco"/>
                    </a:sp3d>
                  </pic:spPr>
                </pic:pic>
              </a:graphicData>
            </a:graphic>
          </wp:anchor>
        </w:drawing>
      </w:r>
      <w:proofErr w:type="spellStart"/>
      <w:r w:rsidRPr="000F67D7">
        <w:rPr>
          <w:rFonts w:ascii="Museo 300" w:hAnsi="Museo 300"/>
          <w:b/>
          <w:color w:val="0000CC"/>
          <w:sz w:val="30"/>
          <w:szCs w:val="30"/>
        </w:rPr>
        <w:t>L’Associazione</w:t>
      </w:r>
      <w:proofErr w:type="spellEnd"/>
      <w:r w:rsidRPr="000F67D7">
        <w:rPr>
          <w:rFonts w:ascii="Museo 300" w:hAnsi="Museo 300"/>
          <w:b/>
          <w:color w:val="0000CC"/>
          <w:sz w:val="30"/>
          <w:szCs w:val="30"/>
        </w:rPr>
        <w:t xml:space="preserve"> </w:t>
      </w:r>
      <w:proofErr w:type="spellStart"/>
      <w:r w:rsidRPr="000F67D7">
        <w:rPr>
          <w:rFonts w:ascii="Museo 300" w:hAnsi="Museo 300"/>
          <w:b/>
          <w:color w:val="0000CC"/>
          <w:sz w:val="30"/>
          <w:szCs w:val="30"/>
        </w:rPr>
        <w:t>Avvocatura</w:t>
      </w:r>
      <w:proofErr w:type="spellEnd"/>
      <w:r w:rsidRPr="000F67D7">
        <w:rPr>
          <w:rFonts w:ascii="Museo 300" w:hAnsi="Museo 300"/>
          <w:b/>
          <w:color w:val="0000CC"/>
          <w:sz w:val="30"/>
          <w:szCs w:val="30"/>
        </w:rPr>
        <w:t xml:space="preserve"> di </w:t>
      </w:r>
      <w:proofErr w:type="spellStart"/>
      <w:r w:rsidRPr="000F67D7">
        <w:rPr>
          <w:rFonts w:ascii="Museo 300" w:hAnsi="Museo 300"/>
          <w:b/>
          <w:color w:val="0000CC"/>
          <w:sz w:val="30"/>
          <w:szCs w:val="30"/>
        </w:rPr>
        <w:t>Diritto</w:t>
      </w:r>
      <w:proofErr w:type="spellEnd"/>
      <w:r w:rsidRPr="000F67D7">
        <w:rPr>
          <w:rFonts w:ascii="Museo 300" w:hAnsi="Museo 300"/>
          <w:b/>
          <w:color w:val="0000CC"/>
          <w:sz w:val="30"/>
          <w:szCs w:val="30"/>
        </w:rPr>
        <w:t xml:space="preserve"> </w:t>
      </w:r>
      <w:proofErr w:type="spellStart"/>
      <w:r w:rsidRPr="000F67D7">
        <w:rPr>
          <w:rFonts w:ascii="Museo 300" w:hAnsi="Museo 300"/>
          <w:b/>
          <w:color w:val="0000CC"/>
          <w:sz w:val="30"/>
          <w:szCs w:val="30"/>
        </w:rPr>
        <w:t>Infermieristico</w:t>
      </w:r>
      <w:proofErr w:type="spellEnd"/>
      <w:r w:rsidRPr="000F67D7">
        <w:rPr>
          <w:rFonts w:ascii="Museo 300" w:hAnsi="Museo 300"/>
          <w:b/>
          <w:color w:val="0000CC"/>
          <w:sz w:val="30"/>
          <w:szCs w:val="30"/>
        </w:rPr>
        <w:t xml:space="preserve"> dice ...</w:t>
      </w:r>
    </w:p>
    <w:p w14:paraId="55EBCE78" w14:textId="5043B75A" w:rsidR="000F67D7" w:rsidRPr="00AC4D4D" w:rsidRDefault="000F67D7" w:rsidP="000F67D7">
      <w:pPr>
        <w:pStyle w:val="Titolo1"/>
        <w:rPr>
          <w:rFonts w:ascii="Palatino Linotype" w:hAnsi="Palatino Linotype"/>
          <w:sz w:val="28"/>
          <w:szCs w:val="28"/>
        </w:rPr>
      </w:pPr>
      <w:proofErr w:type="spellStart"/>
      <w:r w:rsidRPr="00AC4D4D">
        <w:rPr>
          <w:rFonts w:ascii="Palatino Linotype" w:hAnsi="Palatino Linotype"/>
          <w:sz w:val="28"/>
          <w:szCs w:val="28"/>
        </w:rPr>
        <w:t>Commento</w:t>
      </w:r>
      <w:proofErr w:type="spellEnd"/>
      <w:r w:rsidRPr="00AC4D4D">
        <w:rPr>
          <w:rFonts w:ascii="Palatino Linotype" w:hAnsi="Palatino Linotype"/>
          <w:sz w:val="28"/>
          <w:szCs w:val="28"/>
        </w:rPr>
        <w:t xml:space="preserve"> a </w:t>
      </w:r>
      <w:proofErr w:type="spellStart"/>
      <w:r w:rsidRPr="00AC4D4D">
        <w:rPr>
          <w:rFonts w:ascii="Palatino Linotype" w:hAnsi="Palatino Linotype"/>
          <w:sz w:val="28"/>
          <w:szCs w:val="28"/>
        </w:rPr>
        <w:t>Cassazione</w:t>
      </w:r>
      <w:proofErr w:type="spellEnd"/>
      <w:r w:rsidRPr="00AC4D4D">
        <w:rPr>
          <w:rFonts w:ascii="Palatino Linotype" w:hAnsi="Palatino Linotype"/>
          <w:sz w:val="28"/>
          <w:szCs w:val="28"/>
        </w:rPr>
        <w:t xml:space="preserve"> </w:t>
      </w:r>
      <w:proofErr w:type="spellStart"/>
      <w:proofErr w:type="gramStart"/>
      <w:r w:rsidRPr="00AC4D4D">
        <w:rPr>
          <w:rFonts w:ascii="Palatino Linotype" w:hAnsi="Palatino Linotype"/>
          <w:sz w:val="28"/>
          <w:szCs w:val="28"/>
        </w:rPr>
        <w:t>Lavoro</w:t>
      </w:r>
      <w:proofErr w:type="spellEnd"/>
      <w:r w:rsidRPr="00AC4D4D">
        <w:rPr>
          <w:rFonts w:ascii="Palatino Linotype" w:hAnsi="Palatino Linotype"/>
          <w:sz w:val="28"/>
          <w:szCs w:val="28"/>
        </w:rPr>
        <w:t xml:space="preserve"> </w:t>
      </w:r>
      <w:r w:rsidR="00F86324" w:rsidRPr="00AC4D4D">
        <w:rPr>
          <w:rFonts w:ascii="Palatino Linotype" w:hAnsi="Palatino Linotype"/>
          <w:sz w:val="28"/>
          <w:szCs w:val="28"/>
        </w:rPr>
        <w:t xml:space="preserve"> </w:t>
      </w:r>
      <w:r w:rsidR="00F86324" w:rsidRPr="00AC4D4D">
        <w:rPr>
          <w:rFonts w:ascii="Palatino Linotype" w:hAnsi="Palatino Linotype"/>
          <w:i w:val="0"/>
          <w:sz w:val="28"/>
          <w:szCs w:val="28"/>
        </w:rPr>
        <w:t>n</w:t>
      </w:r>
      <w:proofErr w:type="gramEnd"/>
      <w:r w:rsidR="00F86324" w:rsidRPr="00AC4D4D">
        <w:rPr>
          <w:rFonts w:ascii="Palatino Linotype" w:hAnsi="Palatino Linotype"/>
          <w:i w:val="0"/>
          <w:sz w:val="28"/>
          <w:szCs w:val="28"/>
        </w:rPr>
        <w:t xml:space="preserve">° </w:t>
      </w:r>
      <w:r w:rsidR="00AC4D4D" w:rsidRPr="00AC4D4D">
        <w:rPr>
          <w:rFonts w:ascii="Palatino Linotype" w:hAnsi="Palatino Linotype"/>
          <w:bCs w:val="0"/>
          <w:sz w:val="28"/>
          <w:szCs w:val="28"/>
        </w:rPr>
        <w:t>Cass. SS.UU., n. 5072/2016</w:t>
      </w:r>
    </w:p>
    <w:p w14:paraId="13C26AE4" w14:textId="77777777" w:rsidR="00F86324" w:rsidRDefault="00F86324" w:rsidP="00F86324">
      <w:pPr>
        <w:rPr>
          <w:rFonts w:asciiTheme="majorHAnsi" w:eastAsiaTheme="majorEastAsia" w:hAnsiTheme="majorHAnsi" w:cstheme="majorBidi"/>
          <w:color w:val="622423" w:themeColor="accent2" w:themeShade="7F"/>
          <w:sz w:val="24"/>
          <w:szCs w:val="24"/>
        </w:rPr>
      </w:pPr>
    </w:p>
    <w:p w14:paraId="1A5E7399" w14:textId="77777777" w:rsidR="00F86324" w:rsidRDefault="00F86324" w:rsidP="00F86324">
      <w:bookmarkStart w:id="0" w:name="_GoBack"/>
      <w:bookmarkEnd w:id="0"/>
    </w:p>
    <w:p w14:paraId="0BD73085" w14:textId="77777777" w:rsidR="00AF4FA4" w:rsidRDefault="00AF4FA4" w:rsidP="00F86324"/>
    <w:p w14:paraId="0BC6A979" w14:textId="2409D3FC" w:rsidR="00AC4D4D" w:rsidRPr="004F1957" w:rsidRDefault="00AC4D4D" w:rsidP="00AC4D4D">
      <w:pPr>
        <w:jc w:val="center"/>
        <w:rPr>
          <w:rFonts w:ascii="Palatino Linotype" w:hAnsi="Palatino Linotype"/>
          <w:b/>
          <w:bCs/>
          <w:i w:val="0"/>
          <w:sz w:val="36"/>
          <w:szCs w:val="36"/>
        </w:rPr>
      </w:pPr>
      <w:r w:rsidRPr="00AC4D4D">
        <w:rPr>
          <w:rFonts w:ascii="Palatino Linotype" w:hAnsi="Palatino Linotype"/>
          <w:bCs/>
          <w:sz w:val="36"/>
          <w:szCs w:val="36"/>
        </w:rPr>
        <w:t>“</w:t>
      </w:r>
      <w:r w:rsidRPr="004F1957">
        <w:rPr>
          <w:rFonts w:ascii="Palatino Linotype" w:hAnsi="Palatino Linotype"/>
          <w:b/>
          <w:bCs/>
          <w:sz w:val="36"/>
          <w:szCs w:val="36"/>
        </w:rPr>
        <w:t xml:space="preserve">Il </w:t>
      </w:r>
      <w:proofErr w:type="spellStart"/>
      <w:r w:rsidRPr="004F1957">
        <w:rPr>
          <w:rFonts w:ascii="Palatino Linotype" w:hAnsi="Palatino Linotype"/>
          <w:b/>
          <w:bCs/>
          <w:sz w:val="36"/>
          <w:szCs w:val="36"/>
        </w:rPr>
        <w:t>dipendente</w:t>
      </w:r>
      <w:proofErr w:type="spellEnd"/>
      <w:r w:rsidRPr="004F1957">
        <w:rPr>
          <w:rFonts w:ascii="Palatino Linotype" w:hAnsi="Palatino Linotype"/>
          <w:b/>
          <w:bCs/>
          <w:sz w:val="36"/>
          <w:szCs w:val="36"/>
        </w:rPr>
        <w:t xml:space="preserve"> a tempo </w:t>
      </w:r>
      <w:proofErr w:type="spellStart"/>
      <w:r w:rsidRPr="004F1957">
        <w:rPr>
          <w:rFonts w:ascii="Palatino Linotype" w:hAnsi="Palatino Linotype"/>
          <w:b/>
          <w:bCs/>
          <w:sz w:val="36"/>
          <w:szCs w:val="36"/>
        </w:rPr>
        <w:t>determinato</w:t>
      </w:r>
      <w:proofErr w:type="spellEnd"/>
      <w:r w:rsidRPr="004F1957">
        <w:rPr>
          <w:rFonts w:ascii="Palatino Linotype" w:hAnsi="Palatino Linotype"/>
          <w:b/>
          <w:bCs/>
          <w:sz w:val="36"/>
          <w:szCs w:val="36"/>
        </w:rPr>
        <w:t xml:space="preserve"> </w:t>
      </w:r>
      <w:proofErr w:type="spellStart"/>
      <w:r w:rsidRPr="004F1957">
        <w:rPr>
          <w:rFonts w:ascii="Palatino Linotype" w:hAnsi="Palatino Linotype"/>
          <w:b/>
          <w:bCs/>
          <w:sz w:val="36"/>
          <w:szCs w:val="36"/>
        </w:rPr>
        <w:t>nel</w:t>
      </w:r>
      <w:proofErr w:type="spellEnd"/>
      <w:r w:rsidRPr="004F1957">
        <w:rPr>
          <w:rFonts w:ascii="Palatino Linotype" w:hAnsi="Palatino Linotype"/>
          <w:b/>
          <w:bCs/>
          <w:sz w:val="36"/>
          <w:szCs w:val="36"/>
        </w:rPr>
        <w:t xml:space="preserve"> </w:t>
      </w:r>
      <w:proofErr w:type="spellStart"/>
      <w:r w:rsidRPr="004F1957">
        <w:rPr>
          <w:rFonts w:ascii="Palatino Linotype" w:hAnsi="Palatino Linotype"/>
          <w:b/>
          <w:bCs/>
          <w:sz w:val="36"/>
          <w:szCs w:val="36"/>
        </w:rPr>
        <w:t>pubblico</w:t>
      </w:r>
      <w:proofErr w:type="spellEnd"/>
      <w:r w:rsidRPr="004F1957">
        <w:rPr>
          <w:rFonts w:ascii="Palatino Linotype" w:hAnsi="Palatino Linotype"/>
          <w:b/>
          <w:bCs/>
          <w:sz w:val="36"/>
          <w:szCs w:val="36"/>
        </w:rPr>
        <w:t xml:space="preserve"> </w:t>
      </w:r>
      <w:proofErr w:type="spellStart"/>
      <w:r w:rsidRPr="004F1957">
        <w:rPr>
          <w:rFonts w:ascii="Palatino Linotype" w:hAnsi="Palatino Linotype"/>
          <w:b/>
          <w:bCs/>
          <w:sz w:val="36"/>
          <w:szCs w:val="36"/>
        </w:rPr>
        <w:t>impiego</w:t>
      </w:r>
      <w:proofErr w:type="spellEnd"/>
      <w:r w:rsidRPr="004F1957">
        <w:rPr>
          <w:rFonts w:ascii="Palatino Linotype" w:hAnsi="Palatino Linotype"/>
          <w:b/>
          <w:bCs/>
          <w:sz w:val="36"/>
          <w:szCs w:val="36"/>
        </w:rPr>
        <w:t xml:space="preserve"> non ha </w:t>
      </w:r>
      <w:proofErr w:type="spellStart"/>
      <w:r w:rsidRPr="004F1957">
        <w:rPr>
          <w:rFonts w:ascii="Palatino Linotype" w:hAnsi="Palatino Linotype"/>
          <w:b/>
          <w:bCs/>
          <w:sz w:val="36"/>
          <w:szCs w:val="36"/>
        </w:rPr>
        <w:t>diritto</w:t>
      </w:r>
      <w:proofErr w:type="spellEnd"/>
      <w:r w:rsidRPr="004F1957">
        <w:rPr>
          <w:rFonts w:ascii="Palatino Linotype" w:hAnsi="Palatino Linotype"/>
          <w:b/>
          <w:bCs/>
          <w:sz w:val="36"/>
          <w:szCs w:val="36"/>
        </w:rPr>
        <w:t xml:space="preserve"> </w:t>
      </w:r>
      <w:proofErr w:type="spellStart"/>
      <w:r w:rsidRPr="004F1957">
        <w:rPr>
          <w:rFonts w:ascii="Palatino Linotype" w:hAnsi="Palatino Linotype"/>
          <w:b/>
          <w:bCs/>
          <w:sz w:val="36"/>
          <w:szCs w:val="36"/>
        </w:rPr>
        <w:t>alla</w:t>
      </w:r>
      <w:proofErr w:type="spellEnd"/>
      <w:r w:rsidRPr="004F1957">
        <w:rPr>
          <w:rFonts w:ascii="Palatino Linotype" w:hAnsi="Palatino Linotype"/>
          <w:b/>
          <w:bCs/>
          <w:sz w:val="36"/>
          <w:szCs w:val="36"/>
        </w:rPr>
        <w:t xml:space="preserve"> </w:t>
      </w:r>
      <w:proofErr w:type="spellStart"/>
      <w:r w:rsidRPr="004F1957">
        <w:rPr>
          <w:rFonts w:ascii="Palatino Linotype" w:hAnsi="Palatino Linotype"/>
          <w:b/>
          <w:bCs/>
          <w:sz w:val="36"/>
          <w:szCs w:val="36"/>
        </w:rPr>
        <w:t>conversione</w:t>
      </w:r>
      <w:proofErr w:type="spellEnd"/>
      <w:r w:rsidRPr="004F1957">
        <w:rPr>
          <w:rFonts w:ascii="Palatino Linotype" w:hAnsi="Palatino Linotype"/>
          <w:b/>
          <w:bCs/>
          <w:sz w:val="36"/>
          <w:szCs w:val="36"/>
        </w:rPr>
        <w:t xml:space="preserve"> del </w:t>
      </w:r>
      <w:proofErr w:type="spellStart"/>
      <w:r w:rsidRPr="004F1957">
        <w:rPr>
          <w:rFonts w:ascii="Palatino Linotype" w:hAnsi="Palatino Linotype"/>
          <w:b/>
          <w:bCs/>
          <w:sz w:val="36"/>
          <w:szCs w:val="36"/>
        </w:rPr>
        <w:t>contratto</w:t>
      </w:r>
      <w:proofErr w:type="spellEnd"/>
      <w:r w:rsidRPr="004F1957">
        <w:rPr>
          <w:rFonts w:ascii="Palatino Linotype" w:hAnsi="Palatino Linotype"/>
          <w:b/>
          <w:bCs/>
          <w:sz w:val="36"/>
          <w:szCs w:val="36"/>
        </w:rPr>
        <w:t xml:space="preserve"> di </w:t>
      </w:r>
      <w:proofErr w:type="spellStart"/>
      <w:r w:rsidRPr="004F1957">
        <w:rPr>
          <w:rFonts w:ascii="Palatino Linotype" w:hAnsi="Palatino Linotype"/>
          <w:b/>
          <w:bCs/>
          <w:sz w:val="36"/>
          <w:szCs w:val="36"/>
        </w:rPr>
        <w:t>lavoro</w:t>
      </w:r>
      <w:proofErr w:type="spellEnd"/>
      <w:r w:rsidRPr="004F1957">
        <w:rPr>
          <w:rFonts w:ascii="Palatino Linotype" w:hAnsi="Palatino Linotype"/>
          <w:b/>
          <w:bCs/>
          <w:sz w:val="36"/>
          <w:szCs w:val="36"/>
        </w:rPr>
        <w:t xml:space="preserve"> a tempo </w:t>
      </w:r>
      <w:proofErr w:type="spellStart"/>
      <w:r w:rsidRPr="004F1957">
        <w:rPr>
          <w:rFonts w:ascii="Palatino Linotype" w:hAnsi="Palatino Linotype"/>
          <w:b/>
          <w:bCs/>
          <w:sz w:val="36"/>
          <w:szCs w:val="36"/>
        </w:rPr>
        <w:t>indeterminato</w:t>
      </w:r>
      <w:proofErr w:type="spellEnd"/>
      <w:r w:rsidRPr="004F1957">
        <w:rPr>
          <w:rFonts w:ascii="Palatino Linotype" w:hAnsi="Palatino Linotype"/>
          <w:b/>
          <w:bCs/>
          <w:sz w:val="36"/>
          <w:szCs w:val="36"/>
        </w:rPr>
        <w:t xml:space="preserve"> </w:t>
      </w:r>
      <w:proofErr w:type="spellStart"/>
      <w:r w:rsidRPr="004F1957">
        <w:rPr>
          <w:rFonts w:ascii="Palatino Linotype" w:hAnsi="Palatino Linotype"/>
          <w:b/>
          <w:bCs/>
          <w:sz w:val="36"/>
          <w:szCs w:val="36"/>
        </w:rPr>
        <w:t>anche</w:t>
      </w:r>
      <w:proofErr w:type="spellEnd"/>
      <w:r w:rsidRPr="004F1957">
        <w:rPr>
          <w:rFonts w:ascii="Palatino Linotype" w:hAnsi="Palatino Linotype"/>
          <w:b/>
          <w:bCs/>
          <w:sz w:val="36"/>
          <w:szCs w:val="36"/>
        </w:rPr>
        <w:t xml:space="preserve"> per </w:t>
      </w:r>
      <w:proofErr w:type="spellStart"/>
      <w:r w:rsidRPr="004F1957">
        <w:rPr>
          <w:rFonts w:ascii="Palatino Linotype" w:hAnsi="Palatino Linotype"/>
          <w:b/>
          <w:bCs/>
          <w:sz w:val="36"/>
          <w:szCs w:val="36"/>
        </w:rPr>
        <w:t>illegittima</w:t>
      </w:r>
      <w:proofErr w:type="spellEnd"/>
      <w:r w:rsidRPr="004F1957">
        <w:rPr>
          <w:rFonts w:ascii="Palatino Linotype" w:hAnsi="Palatino Linotype"/>
          <w:b/>
          <w:bCs/>
          <w:sz w:val="36"/>
          <w:szCs w:val="36"/>
        </w:rPr>
        <w:t xml:space="preserve"> </w:t>
      </w:r>
      <w:proofErr w:type="spellStart"/>
      <w:r w:rsidRPr="004F1957">
        <w:rPr>
          <w:rFonts w:ascii="Palatino Linotype" w:hAnsi="Palatino Linotype"/>
          <w:b/>
          <w:bCs/>
          <w:sz w:val="36"/>
          <w:szCs w:val="36"/>
        </w:rPr>
        <w:t>reiterazione</w:t>
      </w:r>
      <w:proofErr w:type="spellEnd"/>
      <w:r w:rsidRPr="004F1957">
        <w:rPr>
          <w:rFonts w:ascii="Palatino Linotype" w:hAnsi="Palatino Linotype"/>
          <w:b/>
          <w:bCs/>
          <w:sz w:val="36"/>
          <w:szCs w:val="36"/>
        </w:rPr>
        <w:t xml:space="preserve"> </w:t>
      </w:r>
      <w:proofErr w:type="spellStart"/>
      <w:r w:rsidRPr="004F1957">
        <w:rPr>
          <w:rFonts w:ascii="Palatino Linotype" w:hAnsi="Palatino Linotype"/>
          <w:b/>
          <w:bCs/>
          <w:sz w:val="36"/>
          <w:szCs w:val="36"/>
        </w:rPr>
        <w:t>dei</w:t>
      </w:r>
      <w:proofErr w:type="spellEnd"/>
      <w:r w:rsidRPr="004F1957">
        <w:rPr>
          <w:rFonts w:ascii="Palatino Linotype" w:hAnsi="Palatino Linotype"/>
          <w:b/>
          <w:bCs/>
          <w:sz w:val="36"/>
          <w:szCs w:val="36"/>
        </w:rPr>
        <w:t xml:space="preserve"> </w:t>
      </w:r>
      <w:proofErr w:type="spellStart"/>
      <w:r w:rsidRPr="004F1957">
        <w:rPr>
          <w:rFonts w:ascii="Palatino Linotype" w:hAnsi="Palatino Linotype"/>
          <w:b/>
          <w:bCs/>
          <w:sz w:val="36"/>
          <w:szCs w:val="36"/>
        </w:rPr>
        <w:t>contratti</w:t>
      </w:r>
      <w:proofErr w:type="spellEnd"/>
      <w:r w:rsidRPr="004F1957">
        <w:rPr>
          <w:rFonts w:ascii="Palatino Linotype" w:hAnsi="Palatino Linotype"/>
          <w:b/>
          <w:bCs/>
          <w:i w:val="0"/>
          <w:sz w:val="36"/>
          <w:szCs w:val="36"/>
        </w:rPr>
        <w:t>”</w:t>
      </w:r>
    </w:p>
    <w:p w14:paraId="5F602C6B" w14:textId="77777777" w:rsidR="00AC4D4D" w:rsidRPr="0064277F" w:rsidRDefault="00AC4D4D" w:rsidP="00AC4D4D">
      <w:pPr>
        <w:spacing w:line="360" w:lineRule="auto"/>
        <w:jc w:val="both"/>
        <w:rPr>
          <w:rFonts w:ascii="Palatino Linotype" w:hAnsi="Palatino Linotype"/>
          <w:bCs/>
          <w:i w:val="0"/>
          <w:sz w:val="24"/>
          <w:szCs w:val="24"/>
        </w:rPr>
      </w:pP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Ennesima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pronuncia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della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Suprema Corte a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sez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. unite (Cass. SS.UU., n. 5072/2016) in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fatto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trasformazione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contratto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lavoro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a tempo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determinato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in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indeterminato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nel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pubblico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impiego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>.</w:t>
      </w:r>
    </w:p>
    <w:p w14:paraId="2629963A" w14:textId="77777777" w:rsidR="00883694" w:rsidRPr="0064277F" w:rsidRDefault="00AC4D4D" w:rsidP="00AC4D4D">
      <w:pPr>
        <w:spacing w:line="360" w:lineRule="auto"/>
        <w:jc w:val="both"/>
        <w:rPr>
          <w:rFonts w:ascii="Palatino Linotype" w:hAnsi="Palatino Linotype"/>
          <w:bCs/>
          <w:i w:val="0"/>
          <w:sz w:val="24"/>
          <w:szCs w:val="24"/>
        </w:rPr>
      </w:pPr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La Corte ha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infatti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ritenuto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legittimo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il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ricorso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in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cassazione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proposto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dall’azienda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ospedaliera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di Genova in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opposizione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alla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pronuncia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della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corte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appello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medesimo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capoluogo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aveva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rigettato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il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precedente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ricorso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dell’azienda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ospedaliera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condannandola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al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risarcimento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danno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nei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confronti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dei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due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ricorrenti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nella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misura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di 15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mensilità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della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retribuzione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globale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fatto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nonché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al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risarcimento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danno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non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inferiore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alle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5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mensilità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oltre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all’indennità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sostitutiva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preavviso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e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alla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reintegrazione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nel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posto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lavoro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con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conseguente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diritto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alla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instaurazione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di un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rapporto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lavoro</w:t>
      </w:r>
      <w:proofErr w:type="spellEnd"/>
      <w:r w:rsidRPr="0064277F">
        <w:rPr>
          <w:rFonts w:ascii="Palatino Linotype" w:hAnsi="Palatino Linotype"/>
          <w:bCs/>
          <w:i w:val="0"/>
          <w:sz w:val="24"/>
          <w:szCs w:val="24"/>
        </w:rPr>
        <w:t xml:space="preserve">  a tempo </w:t>
      </w:r>
      <w:proofErr w:type="spellStart"/>
      <w:r w:rsidRPr="0064277F">
        <w:rPr>
          <w:rFonts w:ascii="Palatino Linotype" w:hAnsi="Palatino Linotype"/>
          <w:bCs/>
          <w:i w:val="0"/>
          <w:sz w:val="24"/>
          <w:szCs w:val="24"/>
        </w:rPr>
        <w:t>indeterminato.</w:t>
      </w:r>
    </w:p>
    <w:p w14:paraId="557381DA" w14:textId="2474FCC6" w:rsidR="00AC4D4D" w:rsidRPr="00CF6315" w:rsidRDefault="00AC4D4D" w:rsidP="00AC4D4D">
      <w:pPr>
        <w:spacing w:line="360" w:lineRule="auto"/>
        <w:jc w:val="both"/>
        <w:rPr>
          <w:rFonts w:ascii="Palatino Linotype" w:hAnsi="Palatino Linotype"/>
          <w:bCs/>
          <w:i w:val="0"/>
          <w:sz w:val="24"/>
          <w:szCs w:val="24"/>
        </w:rPr>
      </w:pPr>
      <w:r w:rsidRPr="00CF6315">
        <w:rPr>
          <w:rFonts w:ascii="Palatino Linotype" w:hAnsi="Palatino Linotype"/>
          <w:bCs/>
          <w:i w:val="0"/>
          <w:sz w:val="24"/>
          <w:szCs w:val="24"/>
        </w:rPr>
        <w:t>Osserva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la Corte,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per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quanto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riguarda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la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determinazione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risarcimento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danno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subito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dal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pubblico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dipendente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ancorché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a tempo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determinato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nel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caso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reiterarsi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dei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contratti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a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termine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, la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norma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da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utilizzare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è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l’art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. 32 </w:t>
      </w:r>
      <w:proofErr w:type="gramStart"/>
      <w:r w:rsidRPr="00CF6315">
        <w:rPr>
          <w:rFonts w:ascii="Palatino Linotype" w:hAnsi="Palatino Linotype"/>
          <w:bCs/>
          <w:i w:val="0"/>
          <w:sz w:val="24"/>
          <w:szCs w:val="24"/>
        </w:rPr>
        <w:t>comma</w:t>
      </w:r>
      <w:proofErr w:type="gram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5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della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legge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n. 183/2010 (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collegato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lavoro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)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sanziona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l’illegittima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apposizione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termine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al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contratto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a tempo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determinato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nel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settore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privato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e non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l’art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. 18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della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legge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300/70 c.d. “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statuto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dei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lavoratori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” o ex art. </w:t>
      </w:r>
      <w:proofErr w:type="gramStart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8, 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Legge</w:t>
      </w:r>
      <w:proofErr w:type="spellEnd"/>
      <w:proofErr w:type="gram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604/66 o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ancora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ex art. 1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legge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92/2012,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poiché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queste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interessano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il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licenziamento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illegittimo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e non la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reiterazione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dei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contratti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a tempo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determinato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perché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la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cessazione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contratto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per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scadenza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dei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termini non è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equiparabile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al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licenziamento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>.</w:t>
      </w:r>
    </w:p>
    <w:p w14:paraId="4B495A64" w14:textId="77777777" w:rsidR="00AC4D4D" w:rsidRDefault="00AC4D4D" w:rsidP="00AC4D4D">
      <w:pPr>
        <w:spacing w:line="360" w:lineRule="auto"/>
        <w:jc w:val="both"/>
        <w:rPr>
          <w:rFonts w:ascii="Palatino Linotype" w:hAnsi="Palatino Linotype"/>
          <w:bCs/>
          <w:sz w:val="24"/>
          <w:szCs w:val="24"/>
        </w:rPr>
      </w:pP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Infatti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tali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norme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partono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dal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presupposto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una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perdita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posto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lavoro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nel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caso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contratti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a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termine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nel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settore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pubblico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non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può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verificarsi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stante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il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fatto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l’art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. 97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della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Costituzione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impone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per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essere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impiegati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all’interno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della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pubblica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amm.ne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bisogna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necessariamente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passare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attraverso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un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pubblico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concorso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concorso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non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sussiste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per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gli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impieghi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a tempo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determinato</w:t>
      </w:r>
      <w:proofErr w:type="spellEnd"/>
      <w:r>
        <w:rPr>
          <w:rFonts w:ascii="Palatino Linotype" w:hAnsi="Palatino Linotype"/>
          <w:bCs/>
          <w:sz w:val="24"/>
          <w:szCs w:val="24"/>
        </w:rPr>
        <w:t>.</w:t>
      </w:r>
    </w:p>
    <w:p w14:paraId="581D9222" w14:textId="287AB108" w:rsidR="00AC4D4D" w:rsidRDefault="00AC4D4D" w:rsidP="00AC4D4D">
      <w:pPr>
        <w:spacing w:line="360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CF6315">
        <w:rPr>
          <w:rFonts w:ascii="Palatino Linotype" w:hAnsi="Palatino Linotype"/>
          <w:bCs/>
          <w:i w:val="0"/>
          <w:sz w:val="24"/>
          <w:szCs w:val="24"/>
        </w:rPr>
        <w:lastRenderedPageBreak/>
        <w:t xml:space="preserve">La Corte di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Giustizia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Europea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con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l’ordinanza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12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dicembre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2013,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Papalia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, C-50/13 ha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ribadito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la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clausola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5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dell’accordo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quadro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, non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stabilisce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un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obbligo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generale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per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gli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stati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membri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prevedere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la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trasformazione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in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contratti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a tempo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indeterminato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dei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contratti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lavoro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a tempo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determinato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, come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anche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la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direttiva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del 1999,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non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contempla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alcuna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ipotesi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trasformazione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contratto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da tempo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determinato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a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indeterminato</w:t>
      </w:r>
      <w:proofErr w:type="spellEnd"/>
      <w:r>
        <w:rPr>
          <w:rFonts w:ascii="Palatino Linotype" w:hAnsi="Palatino Linotype"/>
          <w:bCs/>
          <w:sz w:val="24"/>
          <w:szCs w:val="24"/>
        </w:rPr>
        <w:t>,</w:t>
      </w:r>
      <w:r w:rsidR="00CF6315">
        <w:rPr>
          <w:rFonts w:ascii="Palatino Linotype" w:hAnsi="Palatino Linotype"/>
          <w:bCs/>
          <w:sz w:val="24"/>
          <w:szCs w:val="24"/>
        </w:rPr>
        <w:t>”</w: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883694">
        <w:rPr>
          <w:rFonts w:ascii="Palatino Linotype" w:hAnsi="Palatino Linotype"/>
          <w:bCs/>
          <w:sz w:val="24"/>
          <w:szCs w:val="24"/>
        </w:rPr>
        <w:t>lasciando</w:t>
      </w:r>
      <w:proofErr w:type="spellEnd"/>
      <w:r w:rsidRPr="00883694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883694">
        <w:rPr>
          <w:rFonts w:ascii="Palatino Linotype" w:hAnsi="Palatino Linotype"/>
          <w:bCs/>
          <w:sz w:val="24"/>
          <w:szCs w:val="24"/>
        </w:rPr>
        <w:t>agli</w:t>
      </w:r>
      <w:proofErr w:type="spellEnd"/>
      <w:r w:rsidRPr="00883694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883694">
        <w:rPr>
          <w:rFonts w:ascii="Palatino Linotype" w:hAnsi="Palatino Linotype"/>
          <w:bCs/>
          <w:sz w:val="24"/>
          <w:szCs w:val="24"/>
        </w:rPr>
        <w:t>Stati</w:t>
      </w:r>
      <w:proofErr w:type="spellEnd"/>
      <w:r w:rsidRPr="00883694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883694">
        <w:rPr>
          <w:rFonts w:ascii="Palatino Linotype" w:hAnsi="Palatino Linotype"/>
          <w:bCs/>
          <w:sz w:val="24"/>
          <w:szCs w:val="24"/>
        </w:rPr>
        <w:t>membri</w:t>
      </w:r>
      <w:proofErr w:type="spellEnd"/>
      <w:r w:rsidRPr="00883694">
        <w:rPr>
          <w:rFonts w:ascii="Palatino Linotype" w:hAnsi="Palatino Linotype"/>
          <w:bCs/>
          <w:sz w:val="24"/>
          <w:szCs w:val="24"/>
        </w:rPr>
        <w:t xml:space="preserve"> un </w:t>
      </w:r>
      <w:proofErr w:type="spellStart"/>
      <w:r w:rsidRPr="00883694">
        <w:rPr>
          <w:rFonts w:ascii="Palatino Linotype" w:hAnsi="Palatino Linotype"/>
          <w:bCs/>
          <w:sz w:val="24"/>
          <w:szCs w:val="24"/>
        </w:rPr>
        <w:t>certo</w:t>
      </w:r>
      <w:proofErr w:type="spellEnd"/>
      <w:r w:rsidRPr="00883694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883694">
        <w:rPr>
          <w:rFonts w:ascii="Palatino Linotype" w:hAnsi="Palatino Linotype"/>
          <w:bCs/>
          <w:sz w:val="24"/>
          <w:szCs w:val="24"/>
        </w:rPr>
        <w:t>margine</w:t>
      </w:r>
      <w:proofErr w:type="spellEnd"/>
      <w:r w:rsidRPr="00883694">
        <w:rPr>
          <w:rFonts w:ascii="Palatino Linotype" w:hAnsi="Palatino Linotype"/>
          <w:bCs/>
          <w:sz w:val="24"/>
          <w:szCs w:val="24"/>
        </w:rPr>
        <w:t xml:space="preserve"> di </w:t>
      </w:r>
      <w:proofErr w:type="spellStart"/>
      <w:r w:rsidRPr="00883694">
        <w:rPr>
          <w:rFonts w:ascii="Palatino Linotype" w:hAnsi="Palatino Linotype"/>
          <w:bCs/>
          <w:sz w:val="24"/>
          <w:szCs w:val="24"/>
        </w:rPr>
        <w:t>discrezionalità</w:t>
      </w:r>
      <w:proofErr w:type="spellEnd"/>
      <w:r w:rsidRPr="00883694">
        <w:rPr>
          <w:rFonts w:ascii="Palatino Linotype" w:hAnsi="Palatino Linotype"/>
          <w:bCs/>
          <w:sz w:val="24"/>
          <w:szCs w:val="24"/>
        </w:rPr>
        <w:t xml:space="preserve"> in </w:t>
      </w:r>
      <w:proofErr w:type="spellStart"/>
      <w:r w:rsidRPr="00883694">
        <w:rPr>
          <w:rFonts w:ascii="Palatino Linotype" w:hAnsi="Palatino Linotype"/>
          <w:bCs/>
          <w:sz w:val="24"/>
          <w:szCs w:val="24"/>
        </w:rPr>
        <w:t>materia</w:t>
      </w:r>
      <w:proofErr w:type="spellEnd"/>
      <w:r>
        <w:rPr>
          <w:rFonts w:ascii="Palatino Linotype" w:hAnsi="Palatino Linotype"/>
          <w:bCs/>
          <w:sz w:val="24"/>
          <w:szCs w:val="24"/>
        </w:rPr>
        <w:t xml:space="preserve">”. </w:t>
      </w:r>
    </w:p>
    <w:p w14:paraId="017BFA19" w14:textId="77777777" w:rsidR="00AC4D4D" w:rsidRPr="00CF6315" w:rsidRDefault="00AC4D4D" w:rsidP="00AC4D4D">
      <w:pPr>
        <w:spacing w:line="360" w:lineRule="auto"/>
        <w:jc w:val="both"/>
        <w:rPr>
          <w:rFonts w:ascii="Palatino Linotype" w:hAnsi="Palatino Linotype"/>
          <w:bCs/>
          <w:i w:val="0"/>
          <w:sz w:val="24"/>
          <w:szCs w:val="24"/>
        </w:rPr>
      </w:pPr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La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direttiva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comunitaria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pone solo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principi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specifici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per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gli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ordinamenti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degli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Stati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membri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proofErr w:type="gramStart"/>
      <w:r w:rsidRPr="00CF6315">
        <w:rPr>
          <w:rFonts w:ascii="Palatino Linotype" w:hAnsi="Palatino Linotype"/>
          <w:bCs/>
          <w:i w:val="0"/>
          <w:sz w:val="24"/>
          <w:szCs w:val="24"/>
        </w:rPr>
        <w:t>valgono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 come</w:t>
      </w:r>
      <w:proofErr w:type="gram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obiettivi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da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raggiungere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ed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attuare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come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il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principio del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contrasto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dell’abuso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datore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lavoro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nel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privato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o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pubblico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nella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successione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contratti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a tempo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determinato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(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clausola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5).</w:t>
      </w:r>
    </w:p>
    <w:p w14:paraId="0C363919" w14:textId="77777777" w:rsidR="00AC4D4D" w:rsidRDefault="00AC4D4D" w:rsidP="00AC4D4D">
      <w:pPr>
        <w:spacing w:line="360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La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portata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della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direttiva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e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dell’accordo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soprattutto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riguardo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alla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clausola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5, è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proprio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questo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precisa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la Corte di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Giustizia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-7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settembre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2006,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Marrosu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 e </w:t>
      </w:r>
      <w:proofErr w:type="spellStart"/>
      <w:r w:rsidRPr="00CF6315">
        <w:rPr>
          <w:rFonts w:ascii="Palatino Linotype" w:hAnsi="Palatino Linotype"/>
          <w:bCs/>
          <w:i w:val="0"/>
          <w:sz w:val="24"/>
          <w:szCs w:val="24"/>
        </w:rPr>
        <w:t>Sardino</w:t>
      </w:r>
      <w:proofErr w:type="spellEnd"/>
      <w:r w:rsidRPr="00CF6315">
        <w:rPr>
          <w:rFonts w:ascii="Palatino Linotype" w:hAnsi="Palatino Linotype"/>
          <w:bCs/>
          <w:i w:val="0"/>
          <w:sz w:val="24"/>
          <w:szCs w:val="24"/>
        </w:rPr>
        <w:t xml:space="preserve">, C-53/04 – (cit.) </w:t>
      </w:r>
      <w:proofErr w:type="spellStart"/>
      <w:proofErr w:type="gramStart"/>
      <w:r w:rsidRPr="00CF6315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>
        <w:rPr>
          <w:rFonts w:ascii="Palatino Linotype" w:hAnsi="Palatino Linotype"/>
          <w:bCs/>
          <w:sz w:val="24"/>
          <w:szCs w:val="24"/>
        </w:rPr>
        <w:t xml:space="preserve"> ”</w:t>
      </w:r>
      <w:proofErr w:type="spellStart"/>
      <w:r w:rsidRPr="004D76E7">
        <w:rPr>
          <w:rFonts w:ascii="Palatino Linotype" w:hAnsi="Palatino Linotype"/>
          <w:bCs/>
          <w:sz w:val="24"/>
          <w:szCs w:val="24"/>
        </w:rPr>
        <w:t>l’obiettivo</w:t>
      </w:r>
      <w:proofErr w:type="spellEnd"/>
      <w:proofErr w:type="gramEnd"/>
      <w:r w:rsidRPr="004D76E7">
        <w:rPr>
          <w:rFonts w:ascii="Palatino Linotype" w:hAnsi="Palatino Linotype"/>
          <w:bCs/>
          <w:sz w:val="24"/>
          <w:szCs w:val="24"/>
        </w:rPr>
        <w:t xml:space="preserve"> di </w:t>
      </w:r>
      <w:proofErr w:type="spellStart"/>
      <w:r w:rsidRPr="004D76E7">
        <w:rPr>
          <w:rFonts w:ascii="Palatino Linotype" w:hAnsi="Palatino Linotype"/>
          <w:bCs/>
          <w:sz w:val="24"/>
          <w:szCs w:val="24"/>
        </w:rPr>
        <w:t>quest’ultimo</w:t>
      </w:r>
      <w:proofErr w:type="spellEnd"/>
      <w:r w:rsidRPr="004D76E7">
        <w:rPr>
          <w:rFonts w:ascii="Palatino Linotype" w:hAnsi="Palatino Linotype"/>
          <w:bCs/>
          <w:sz w:val="24"/>
          <w:szCs w:val="24"/>
        </w:rPr>
        <w:t xml:space="preserve"> è </w:t>
      </w:r>
      <w:proofErr w:type="spellStart"/>
      <w:r w:rsidRPr="004D76E7">
        <w:rPr>
          <w:rFonts w:ascii="Palatino Linotype" w:hAnsi="Palatino Linotype"/>
          <w:bCs/>
          <w:sz w:val="24"/>
          <w:szCs w:val="24"/>
        </w:rPr>
        <w:t>quello</w:t>
      </w:r>
      <w:proofErr w:type="spellEnd"/>
      <w:r w:rsidRPr="004D76E7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4D76E7">
        <w:rPr>
          <w:rFonts w:ascii="Palatino Linotype" w:hAnsi="Palatino Linotype"/>
          <w:bCs/>
          <w:sz w:val="24"/>
          <w:szCs w:val="24"/>
        </w:rPr>
        <w:t>creare</w:t>
      </w:r>
      <w:proofErr w:type="spellEnd"/>
      <w:r w:rsidRPr="004D76E7">
        <w:rPr>
          <w:rFonts w:ascii="Palatino Linotype" w:hAnsi="Palatino Linotype"/>
          <w:bCs/>
          <w:sz w:val="24"/>
          <w:szCs w:val="24"/>
        </w:rPr>
        <w:t xml:space="preserve"> un </w:t>
      </w:r>
      <w:proofErr w:type="spellStart"/>
      <w:r w:rsidRPr="004D76E7">
        <w:rPr>
          <w:rFonts w:ascii="Palatino Linotype" w:hAnsi="Palatino Linotype"/>
          <w:bCs/>
          <w:sz w:val="24"/>
          <w:szCs w:val="24"/>
        </w:rPr>
        <w:t>quadro</w:t>
      </w:r>
      <w:proofErr w:type="spellEnd"/>
      <w:r w:rsidRPr="004D76E7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4D76E7">
        <w:rPr>
          <w:rFonts w:ascii="Palatino Linotype" w:hAnsi="Palatino Linotype"/>
          <w:bCs/>
          <w:sz w:val="24"/>
          <w:szCs w:val="24"/>
        </w:rPr>
        <w:t>normativo</w:t>
      </w:r>
      <w:proofErr w:type="spellEnd"/>
      <w:r w:rsidRPr="004D76E7">
        <w:rPr>
          <w:rFonts w:ascii="Palatino Linotype" w:hAnsi="Palatino Linotype"/>
          <w:bCs/>
          <w:sz w:val="24"/>
          <w:szCs w:val="24"/>
        </w:rPr>
        <w:t xml:space="preserve"> per la </w:t>
      </w:r>
      <w:proofErr w:type="spellStart"/>
      <w:r w:rsidRPr="004D76E7">
        <w:rPr>
          <w:rFonts w:ascii="Palatino Linotype" w:hAnsi="Palatino Linotype"/>
          <w:bCs/>
          <w:sz w:val="24"/>
          <w:szCs w:val="24"/>
        </w:rPr>
        <w:t>prevenzione</w:t>
      </w:r>
      <w:proofErr w:type="spellEnd"/>
      <w:r w:rsidRPr="004D76E7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4D76E7">
        <w:rPr>
          <w:rFonts w:ascii="Palatino Linotype" w:hAnsi="Palatino Linotype"/>
          <w:bCs/>
          <w:sz w:val="24"/>
          <w:szCs w:val="24"/>
        </w:rPr>
        <w:t>degli</w:t>
      </w:r>
      <w:proofErr w:type="spellEnd"/>
      <w:r w:rsidRPr="004D76E7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4D76E7">
        <w:rPr>
          <w:rFonts w:ascii="Palatino Linotype" w:hAnsi="Palatino Linotype"/>
          <w:bCs/>
          <w:sz w:val="24"/>
          <w:szCs w:val="24"/>
        </w:rPr>
        <w:t>abusi</w:t>
      </w:r>
      <w:proofErr w:type="spellEnd"/>
      <w:r w:rsidRPr="004D76E7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4D76E7">
        <w:rPr>
          <w:rFonts w:ascii="Palatino Linotype" w:hAnsi="Palatino Linotype"/>
          <w:bCs/>
          <w:sz w:val="24"/>
          <w:szCs w:val="24"/>
        </w:rPr>
        <w:t>derivanti</w:t>
      </w:r>
      <w:proofErr w:type="spellEnd"/>
      <w:r w:rsidRPr="004D76E7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4D76E7">
        <w:rPr>
          <w:rFonts w:ascii="Palatino Linotype" w:hAnsi="Palatino Linotype"/>
          <w:bCs/>
          <w:sz w:val="24"/>
          <w:szCs w:val="24"/>
        </w:rPr>
        <w:t>dall’utilizzo</w:t>
      </w:r>
      <w:proofErr w:type="spellEnd"/>
      <w:r w:rsidRPr="004D76E7">
        <w:rPr>
          <w:rFonts w:ascii="Palatino Linotype" w:hAnsi="Palatino Linotype"/>
          <w:bCs/>
          <w:sz w:val="24"/>
          <w:szCs w:val="24"/>
        </w:rPr>
        <w:t xml:space="preserve"> di </w:t>
      </w:r>
      <w:proofErr w:type="spellStart"/>
      <w:r w:rsidRPr="004D76E7">
        <w:rPr>
          <w:rFonts w:ascii="Palatino Linotype" w:hAnsi="Palatino Linotype"/>
          <w:bCs/>
          <w:sz w:val="24"/>
          <w:szCs w:val="24"/>
        </w:rPr>
        <w:t>una</w:t>
      </w:r>
      <w:proofErr w:type="spellEnd"/>
      <w:r w:rsidRPr="004D76E7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4D76E7">
        <w:rPr>
          <w:rFonts w:ascii="Palatino Linotype" w:hAnsi="Palatino Linotype"/>
          <w:bCs/>
          <w:sz w:val="24"/>
          <w:szCs w:val="24"/>
        </w:rPr>
        <w:t>successione</w:t>
      </w:r>
      <w:proofErr w:type="spellEnd"/>
      <w:r w:rsidRPr="004D76E7">
        <w:rPr>
          <w:rFonts w:ascii="Palatino Linotype" w:hAnsi="Palatino Linotype"/>
          <w:bCs/>
          <w:sz w:val="24"/>
          <w:szCs w:val="24"/>
        </w:rPr>
        <w:t xml:space="preserve"> di </w:t>
      </w:r>
      <w:proofErr w:type="spellStart"/>
      <w:r w:rsidRPr="004D76E7">
        <w:rPr>
          <w:rFonts w:ascii="Palatino Linotype" w:hAnsi="Palatino Linotype"/>
          <w:bCs/>
          <w:sz w:val="24"/>
          <w:szCs w:val="24"/>
        </w:rPr>
        <w:t>contratti</w:t>
      </w:r>
      <w:proofErr w:type="spellEnd"/>
      <w:r w:rsidRPr="004D76E7">
        <w:rPr>
          <w:rFonts w:ascii="Palatino Linotype" w:hAnsi="Palatino Linotype"/>
          <w:bCs/>
          <w:sz w:val="24"/>
          <w:szCs w:val="24"/>
        </w:rPr>
        <w:t xml:space="preserve"> o </w:t>
      </w:r>
      <w:proofErr w:type="spellStart"/>
      <w:r w:rsidRPr="004D76E7">
        <w:rPr>
          <w:rFonts w:ascii="Palatino Linotype" w:hAnsi="Palatino Linotype"/>
          <w:bCs/>
          <w:sz w:val="24"/>
          <w:szCs w:val="24"/>
        </w:rPr>
        <w:t>rapporti</w:t>
      </w:r>
      <w:proofErr w:type="spellEnd"/>
      <w:r w:rsidRPr="004D76E7">
        <w:rPr>
          <w:rFonts w:ascii="Palatino Linotype" w:hAnsi="Palatino Linotype"/>
          <w:bCs/>
          <w:sz w:val="24"/>
          <w:szCs w:val="24"/>
        </w:rPr>
        <w:t xml:space="preserve"> di </w:t>
      </w:r>
      <w:proofErr w:type="spellStart"/>
      <w:r w:rsidRPr="004D76E7">
        <w:rPr>
          <w:rFonts w:ascii="Palatino Linotype" w:hAnsi="Palatino Linotype"/>
          <w:bCs/>
          <w:sz w:val="24"/>
          <w:szCs w:val="24"/>
        </w:rPr>
        <w:t>lavoro</w:t>
      </w:r>
      <w:proofErr w:type="spellEnd"/>
      <w:r w:rsidRPr="004D76E7">
        <w:rPr>
          <w:rFonts w:ascii="Palatino Linotype" w:hAnsi="Palatino Linotype"/>
          <w:bCs/>
          <w:sz w:val="24"/>
          <w:szCs w:val="24"/>
        </w:rPr>
        <w:t xml:space="preserve"> a tempo </w:t>
      </w:r>
      <w:proofErr w:type="spellStart"/>
      <w:r w:rsidRPr="004D76E7">
        <w:rPr>
          <w:rFonts w:ascii="Palatino Linotype" w:hAnsi="Palatino Linotype"/>
          <w:bCs/>
          <w:sz w:val="24"/>
          <w:szCs w:val="24"/>
        </w:rPr>
        <w:t>determinato</w:t>
      </w:r>
      <w:proofErr w:type="spellEnd"/>
      <w:r>
        <w:rPr>
          <w:rFonts w:ascii="Palatino Linotype" w:hAnsi="Palatino Linotype"/>
          <w:bCs/>
          <w:sz w:val="24"/>
          <w:szCs w:val="24"/>
        </w:rPr>
        <w:t>”.</w:t>
      </w:r>
    </w:p>
    <w:p w14:paraId="17392769" w14:textId="77777777" w:rsidR="00AC4D4D" w:rsidRPr="00DA0AFC" w:rsidRDefault="00AC4D4D" w:rsidP="00AC4D4D">
      <w:pPr>
        <w:spacing w:line="360" w:lineRule="auto"/>
        <w:jc w:val="both"/>
        <w:rPr>
          <w:rFonts w:ascii="Palatino Linotype" w:hAnsi="Palatino Linotype"/>
          <w:bCs/>
          <w:i w:val="0"/>
          <w:sz w:val="24"/>
          <w:szCs w:val="24"/>
        </w:rPr>
      </w:pP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Sta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poi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alla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legislazione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nazionale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individuare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le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norme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idonee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a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sanzionare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gli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abusi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reiterazione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dei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contratti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e non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alla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norma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Europea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nulla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osta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a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uno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Stato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membro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riservi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un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destino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diverso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al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ricorso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abusivo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a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contratti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o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rapporti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lavoro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a tempo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determinato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stipulati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in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successione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a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seconda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siano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stati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contratti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con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datore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lavoro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pubblico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o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privato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>.</w:t>
      </w:r>
    </w:p>
    <w:p w14:paraId="06A9B663" w14:textId="77777777" w:rsidR="00AC4D4D" w:rsidRPr="00DA0AFC" w:rsidRDefault="00AC4D4D" w:rsidP="00AC4D4D">
      <w:pPr>
        <w:spacing w:line="360" w:lineRule="auto"/>
        <w:jc w:val="both"/>
        <w:rPr>
          <w:rFonts w:ascii="Palatino Linotype" w:hAnsi="Palatino Linotype"/>
          <w:bCs/>
          <w:i w:val="0"/>
          <w:sz w:val="24"/>
          <w:szCs w:val="24"/>
        </w:rPr>
      </w:pPr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Non ci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può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quindi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essere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risarcimento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danno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per la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perdita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lavoro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a tempo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indeterminato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perché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tale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prospettiva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non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c’è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mai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stata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: in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nessun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caso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il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rapporto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lavoro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a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termine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si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potrebbe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convertire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in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rapporto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a tempo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indeterminato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perché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l’accesso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al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pubblico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impiego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può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avvenire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solo per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concorso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pubblico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>.</w:t>
      </w:r>
    </w:p>
    <w:p w14:paraId="37C69785" w14:textId="77777777" w:rsidR="00AC4D4D" w:rsidRPr="00DA0AFC" w:rsidRDefault="00AC4D4D" w:rsidP="00AC4D4D">
      <w:pPr>
        <w:spacing w:line="360" w:lineRule="auto"/>
        <w:jc w:val="both"/>
        <w:rPr>
          <w:rFonts w:ascii="Palatino Linotype" w:hAnsi="Palatino Linotype"/>
          <w:bCs/>
          <w:i w:val="0"/>
          <w:sz w:val="24"/>
          <w:szCs w:val="24"/>
        </w:rPr>
      </w:pP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Ecco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perché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il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risarcimento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è in base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alla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violazione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disposizioni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imperative e non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già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come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perdita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posto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lavoro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., se l’amm.ne non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avesse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fatto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ricorso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a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reiterati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contratti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a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termine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non per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questo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il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lavoratore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sarebbe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stato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assunto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a tempo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indeterminato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senza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concorso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pubblico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>.</w:t>
      </w:r>
    </w:p>
    <w:p w14:paraId="58AF9734" w14:textId="77777777" w:rsidR="00AC4D4D" w:rsidRDefault="00AC4D4D" w:rsidP="00AC4D4D">
      <w:pPr>
        <w:spacing w:line="360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Non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c’è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quindi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un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danno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da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mancata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conversione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rapporto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lavoro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e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quindi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della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perdita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posto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lavoro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, ma solo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quello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da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illegittimità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apposizione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al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termine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al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contratto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lavoro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, o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più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in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generale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, di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abuso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ricorso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a tale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fattispecie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contrattuale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in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ipotesi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proroga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reiterazione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o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rinnovo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proofErr w:type="gramStart"/>
      <w:r w:rsidRPr="00DA0AFC">
        <w:rPr>
          <w:rFonts w:ascii="Palatino Linotype" w:hAnsi="Palatino Linotype"/>
          <w:bCs/>
          <w:i w:val="0"/>
          <w:sz w:val="24"/>
          <w:szCs w:val="24"/>
        </w:rPr>
        <w:t>ripetuti</w:t>
      </w:r>
      <w:proofErr w:type="spell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 </w:t>
      </w:r>
      <w:proofErr w:type="spellStart"/>
      <w:r w:rsidRPr="00DA0AFC">
        <w:rPr>
          <w:rFonts w:ascii="Palatino Linotype" w:hAnsi="Palatino Linotype"/>
          <w:bCs/>
          <w:i w:val="0"/>
          <w:sz w:val="24"/>
          <w:szCs w:val="24"/>
        </w:rPr>
        <w:t>nel</w:t>
      </w:r>
      <w:proofErr w:type="spellEnd"/>
      <w:proofErr w:type="gramEnd"/>
      <w:r w:rsidRPr="00DA0AFC">
        <w:rPr>
          <w:rFonts w:ascii="Palatino Linotype" w:hAnsi="Palatino Linotype"/>
          <w:bCs/>
          <w:i w:val="0"/>
          <w:sz w:val="24"/>
          <w:szCs w:val="24"/>
        </w:rPr>
        <w:t xml:space="preserve"> tempo</w:t>
      </w:r>
      <w:r>
        <w:rPr>
          <w:rFonts w:ascii="Palatino Linotype" w:hAnsi="Palatino Linotype"/>
          <w:bCs/>
          <w:sz w:val="24"/>
          <w:szCs w:val="24"/>
        </w:rPr>
        <w:t>.</w:t>
      </w:r>
    </w:p>
    <w:p w14:paraId="63488BCB" w14:textId="77777777" w:rsidR="00AC4D4D" w:rsidRPr="000F19A2" w:rsidRDefault="00AC4D4D" w:rsidP="00AC4D4D">
      <w:pPr>
        <w:spacing w:line="360" w:lineRule="auto"/>
        <w:jc w:val="both"/>
        <w:rPr>
          <w:rFonts w:ascii="Palatino Linotype" w:hAnsi="Palatino Linotype"/>
          <w:bCs/>
          <w:i w:val="0"/>
          <w:sz w:val="24"/>
          <w:szCs w:val="24"/>
        </w:rPr>
      </w:pP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lastRenderedPageBreak/>
        <w:t>Semmai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si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può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ipotizzare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una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perdita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di chance,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nel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senso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se l’amm.ne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avesse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operato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legittimamente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bandendo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un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concorso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pubblico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il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lavoratore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si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duole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per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l’abuso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contratti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a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termine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avrebbe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potuto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parteciparvi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e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risultarne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vincitore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>.</w:t>
      </w:r>
    </w:p>
    <w:p w14:paraId="7127C5C8" w14:textId="77777777" w:rsidR="00AC4D4D" w:rsidRPr="000F19A2" w:rsidRDefault="00AC4D4D" w:rsidP="00AC4D4D">
      <w:pPr>
        <w:spacing w:line="360" w:lineRule="auto"/>
        <w:jc w:val="both"/>
        <w:rPr>
          <w:rFonts w:ascii="Palatino Linotype" w:hAnsi="Palatino Linotype"/>
          <w:bCs/>
          <w:i w:val="0"/>
          <w:sz w:val="24"/>
          <w:szCs w:val="24"/>
        </w:rPr>
      </w:pPr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Le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energie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lavorative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dipendente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si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sarebbero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liberate verso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altri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impieghi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possibili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o verso un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impiego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alternativo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a tempo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indeterminato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così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facendo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invece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il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lavoratore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subisce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l’illegittima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apposizione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al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termine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o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più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in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generale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l’abuso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della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successione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dei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contratti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a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termine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rimane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confinato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in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una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situazione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precarizzazione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e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perde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la chance di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conseguire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un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percorso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alternativo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>.</w:t>
      </w:r>
    </w:p>
    <w:p w14:paraId="1DDB7E19" w14:textId="77777777" w:rsidR="00AC4D4D" w:rsidRPr="000F19A2" w:rsidRDefault="00AC4D4D" w:rsidP="00AC4D4D">
      <w:pPr>
        <w:spacing w:line="360" w:lineRule="auto"/>
        <w:jc w:val="both"/>
        <w:rPr>
          <w:rFonts w:ascii="Palatino Linotype" w:hAnsi="Palatino Linotype"/>
          <w:bCs/>
          <w:i w:val="0"/>
          <w:sz w:val="24"/>
          <w:szCs w:val="24"/>
        </w:rPr>
      </w:pPr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Il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danno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quindi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lavoratore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pubblico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dipendente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non è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determinato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in base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alla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perdita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posto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lavoro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, ma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nella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perdita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di chance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della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ricerca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una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occupazione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alternativa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migliore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>.</w:t>
      </w:r>
    </w:p>
    <w:p w14:paraId="0881430D" w14:textId="77777777" w:rsidR="00AC4D4D" w:rsidRDefault="00AC4D4D" w:rsidP="00AC4D4D">
      <w:pPr>
        <w:spacing w:line="360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La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tutela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posta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per la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fattispecie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in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esame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dunque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, è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quella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data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dall’art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. 32, comma 5,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Legge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n. 183/2010,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prevede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per le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ipotesi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illegittima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apposizione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termine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al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contratto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a tempo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determinato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nel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settore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privato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>
        <w:rPr>
          <w:rFonts w:ascii="Palatino Linotype" w:hAnsi="Palatino Linotype"/>
          <w:bCs/>
          <w:sz w:val="24"/>
          <w:szCs w:val="24"/>
        </w:rPr>
        <w:t xml:space="preserve"> “</w:t>
      </w:r>
      <w:proofErr w:type="spellStart"/>
      <w:r w:rsidRPr="000F19A2">
        <w:rPr>
          <w:rFonts w:ascii="Palatino Linotype" w:hAnsi="Palatino Linotype"/>
          <w:bCs/>
          <w:sz w:val="24"/>
          <w:szCs w:val="24"/>
        </w:rPr>
        <w:t>il</w:t>
      </w:r>
      <w:proofErr w:type="spellEnd"/>
      <w:r w:rsidRPr="000F19A2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sz w:val="24"/>
          <w:szCs w:val="24"/>
        </w:rPr>
        <w:t>giudice</w:t>
      </w:r>
      <w:proofErr w:type="spellEnd"/>
      <w:r w:rsidRPr="000F19A2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sz w:val="24"/>
          <w:szCs w:val="24"/>
        </w:rPr>
        <w:t>condanna</w:t>
      </w:r>
      <w:proofErr w:type="spellEnd"/>
      <w:r w:rsidRPr="000F19A2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sz w:val="24"/>
          <w:szCs w:val="24"/>
        </w:rPr>
        <w:t>il</w:t>
      </w:r>
      <w:proofErr w:type="spellEnd"/>
      <w:r w:rsidRPr="000F19A2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sz w:val="24"/>
          <w:szCs w:val="24"/>
        </w:rPr>
        <w:t>datore</w:t>
      </w:r>
      <w:proofErr w:type="spellEnd"/>
      <w:r w:rsidRPr="000F19A2">
        <w:rPr>
          <w:rFonts w:ascii="Palatino Linotype" w:hAnsi="Palatino Linotype"/>
          <w:bCs/>
          <w:sz w:val="24"/>
          <w:szCs w:val="24"/>
        </w:rPr>
        <w:t xml:space="preserve"> di </w:t>
      </w:r>
      <w:proofErr w:type="spellStart"/>
      <w:r w:rsidRPr="000F19A2">
        <w:rPr>
          <w:rFonts w:ascii="Palatino Linotype" w:hAnsi="Palatino Linotype"/>
          <w:bCs/>
          <w:sz w:val="24"/>
          <w:szCs w:val="24"/>
        </w:rPr>
        <w:t>lavoro</w:t>
      </w:r>
      <w:proofErr w:type="spellEnd"/>
      <w:r w:rsidRPr="000F19A2">
        <w:rPr>
          <w:rFonts w:ascii="Palatino Linotype" w:hAnsi="Palatino Linotype"/>
          <w:bCs/>
          <w:sz w:val="24"/>
          <w:szCs w:val="24"/>
        </w:rPr>
        <w:t xml:space="preserve"> al </w:t>
      </w:r>
      <w:proofErr w:type="spellStart"/>
      <w:r w:rsidRPr="000F19A2">
        <w:rPr>
          <w:rFonts w:ascii="Palatino Linotype" w:hAnsi="Palatino Linotype"/>
          <w:bCs/>
          <w:sz w:val="24"/>
          <w:szCs w:val="24"/>
        </w:rPr>
        <w:t>risarcimento</w:t>
      </w:r>
      <w:proofErr w:type="spellEnd"/>
      <w:r w:rsidRPr="000F19A2">
        <w:rPr>
          <w:rFonts w:ascii="Palatino Linotype" w:hAnsi="Palatino Linotype"/>
          <w:bCs/>
          <w:sz w:val="24"/>
          <w:szCs w:val="24"/>
        </w:rPr>
        <w:t xml:space="preserve"> del </w:t>
      </w:r>
      <w:proofErr w:type="spellStart"/>
      <w:r w:rsidRPr="000F19A2">
        <w:rPr>
          <w:rFonts w:ascii="Palatino Linotype" w:hAnsi="Palatino Linotype"/>
          <w:bCs/>
          <w:sz w:val="24"/>
          <w:szCs w:val="24"/>
        </w:rPr>
        <w:t>danno</w:t>
      </w:r>
      <w:proofErr w:type="spellEnd"/>
      <w:r w:rsidRPr="000F19A2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sz w:val="24"/>
          <w:szCs w:val="24"/>
        </w:rPr>
        <w:t>stabilendo</w:t>
      </w:r>
      <w:proofErr w:type="spellEnd"/>
      <w:r w:rsidRPr="000F19A2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sz w:val="24"/>
          <w:szCs w:val="24"/>
        </w:rPr>
        <w:t>una</w:t>
      </w:r>
      <w:proofErr w:type="spellEnd"/>
      <w:r w:rsidRPr="000F19A2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sz w:val="24"/>
          <w:szCs w:val="24"/>
        </w:rPr>
        <w:t>indennità</w:t>
      </w:r>
      <w:proofErr w:type="spellEnd"/>
      <w:r w:rsidRPr="000F19A2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proofErr w:type="gramStart"/>
      <w:r w:rsidRPr="000F19A2">
        <w:rPr>
          <w:rFonts w:ascii="Palatino Linotype" w:hAnsi="Palatino Linotype"/>
          <w:bCs/>
          <w:sz w:val="24"/>
          <w:szCs w:val="24"/>
        </w:rPr>
        <w:t>omnicomprensiva</w:t>
      </w:r>
      <w:proofErr w:type="spellEnd"/>
      <w:r w:rsidRPr="000F19A2">
        <w:rPr>
          <w:rFonts w:ascii="Palatino Linotype" w:hAnsi="Palatino Linotype"/>
          <w:bCs/>
          <w:sz w:val="24"/>
          <w:szCs w:val="24"/>
        </w:rPr>
        <w:t xml:space="preserve">  </w:t>
      </w:r>
      <w:proofErr w:type="spellStart"/>
      <w:r w:rsidRPr="000F19A2">
        <w:rPr>
          <w:rFonts w:ascii="Palatino Linotype" w:hAnsi="Palatino Linotype"/>
          <w:bCs/>
          <w:sz w:val="24"/>
          <w:szCs w:val="24"/>
        </w:rPr>
        <w:t>nella</w:t>
      </w:r>
      <w:proofErr w:type="spellEnd"/>
      <w:proofErr w:type="gramEnd"/>
      <w:r w:rsidRPr="000F19A2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sz w:val="24"/>
          <w:szCs w:val="24"/>
        </w:rPr>
        <w:t>misura</w:t>
      </w:r>
      <w:proofErr w:type="spellEnd"/>
      <w:r w:rsidRPr="000F19A2">
        <w:rPr>
          <w:rFonts w:ascii="Palatino Linotype" w:hAnsi="Palatino Linotype"/>
          <w:bCs/>
          <w:sz w:val="24"/>
          <w:szCs w:val="24"/>
        </w:rPr>
        <w:t xml:space="preserve"> minima </w:t>
      </w:r>
      <w:proofErr w:type="spellStart"/>
      <w:r w:rsidRPr="000F19A2">
        <w:rPr>
          <w:rFonts w:ascii="Palatino Linotype" w:hAnsi="Palatino Linotype"/>
          <w:bCs/>
          <w:sz w:val="24"/>
          <w:szCs w:val="24"/>
        </w:rPr>
        <w:t>compresa</w:t>
      </w:r>
      <w:proofErr w:type="spellEnd"/>
      <w:r w:rsidRPr="000F19A2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sz w:val="24"/>
          <w:szCs w:val="24"/>
        </w:rPr>
        <w:t>tra</w:t>
      </w:r>
      <w:proofErr w:type="spellEnd"/>
      <w:r w:rsidRPr="000F19A2">
        <w:rPr>
          <w:rFonts w:ascii="Palatino Linotype" w:hAnsi="Palatino Linotype"/>
          <w:bCs/>
          <w:sz w:val="24"/>
          <w:szCs w:val="24"/>
        </w:rPr>
        <w:t xml:space="preserve"> 2,5 e </w:t>
      </w:r>
      <w:proofErr w:type="spellStart"/>
      <w:r w:rsidRPr="000F19A2">
        <w:rPr>
          <w:rFonts w:ascii="Palatino Linotype" w:hAnsi="Palatino Linotype"/>
          <w:bCs/>
          <w:sz w:val="24"/>
          <w:szCs w:val="24"/>
        </w:rPr>
        <w:t>massima</w:t>
      </w:r>
      <w:proofErr w:type="spellEnd"/>
      <w:r w:rsidRPr="000F19A2">
        <w:rPr>
          <w:rFonts w:ascii="Palatino Linotype" w:hAnsi="Palatino Linotype"/>
          <w:bCs/>
          <w:sz w:val="24"/>
          <w:szCs w:val="24"/>
        </w:rPr>
        <w:t xml:space="preserve"> di 12 </w:t>
      </w:r>
      <w:proofErr w:type="spellStart"/>
      <w:r w:rsidRPr="000F19A2">
        <w:rPr>
          <w:rFonts w:ascii="Palatino Linotype" w:hAnsi="Palatino Linotype"/>
          <w:bCs/>
          <w:sz w:val="24"/>
          <w:szCs w:val="24"/>
        </w:rPr>
        <w:t>mensilità</w:t>
      </w:r>
      <w:proofErr w:type="spellEnd"/>
      <w:r w:rsidRPr="000F19A2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sz w:val="24"/>
          <w:szCs w:val="24"/>
        </w:rPr>
        <w:t>della</w:t>
      </w:r>
      <w:proofErr w:type="spellEnd"/>
      <w:r w:rsidRPr="000F19A2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sz w:val="24"/>
          <w:szCs w:val="24"/>
        </w:rPr>
        <w:t>retribuzione</w:t>
      </w:r>
      <w:proofErr w:type="spellEnd"/>
      <w:r w:rsidRPr="000F19A2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sz w:val="24"/>
          <w:szCs w:val="24"/>
        </w:rPr>
        <w:t>globale</w:t>
      </w:r>
      <w:proofErr w:type="spellEnd"/>
      <w:r w:rsidRPr="000F19A2">
        <w:rPr>
          <w:rFonts w:ascii="Palatino Linotype" w:hAnsi="Palatino Linotype"/>
          <w:bCs/>
          <w:sz w:val="24"/>
          <w:szCs w:val="24"/>
        </w:rPr>
        <w:t xml:space="preserve"> di </w:t>
      </w:r>
      <w:proofErr w:type="spellStart"/>
      <w:r w:rsidRPr="000F19A2">
        <w:rPr>
          <w:rFonts w:ascii="Palatino Linotype" w:hAnsi="Palatino Linotype"/>
          <w:bCs/>
          <w:sz w:val="24"/>
          <w:szCs w:val="24"/>
        </w:rPr>
        <w:t>fatto</w:t>
      </w:r>
      <w:proofErr w:type="spellEnd"/>
      <w:r>
        <w:rPr>
          <w:rFonts w:ascii="Palatino Linotype" w:hAnsi="Palatino Linotype"/>
          <w:bCs/>
          <w:sz w:val="24"/>
          <w:szCs w:val="24"/>
        </w:rPr>
        <w:t>”.</w:t>
      </w:r>
    </w:p>
    <w:p w14:paraId="61F60584" w14:textId="77777777" w:rsidR="00AC4D4D" w:rsidRPr="000F19A2" w:rsidRDefault="00AC4D4D" w:rsidP="00AC4D4D">
      <w:pPr>
        <w:spacing w:line="360" w:lineRule="auto"/>
        <w:jc w:val="both"/>
        <w:rPr>
          <w:rFonts w:ascii="Palatino Linotype" w:hAnsi="Palatino Linotype"/>
          <w:bCs/>
          <w:i w:val="0"/>
          <w:sz w:val="24"/>
          <w:szCs w:val="24"/>
        </w:rPr>
      </w:pPr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Il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richiamo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alla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disciplina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licenziamento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illegittimo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sia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quella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dell’art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. 8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della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Legge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n. 604/66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dell’art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. 18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della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Legge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n. 300/</w:t>
      </w:r>
      <w:proofErr w:type="gramStart"/>
      <w:r w:rsidRPr="000F19A2">
        <w:rPr>
          <w:rFonts w:ascii="Palatino Linotype" w:hAnsi="Palatino Linotype"/>
          <w:bCs/>
          <w:i w:val="0"/>
          <w:sz w:val="24"/>
          <w:szCs w:val="24"/>
        </w:rPr>
        <w:t>70 ,</w:t>
      </w:r>
      <w:proofErr w:type="gram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altresì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quella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contratto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lavoro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a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tutele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crescenti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(art. 3, D.Lgs. n. 23/2015) è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incongruo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perché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per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il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dipendente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pubblico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a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termine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non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c’è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la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perdita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posto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lavoro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ed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ecco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invece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si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inserisce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la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disciplina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dell’art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. 32, comma 5,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Legge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n. 183/2010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riguarda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il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risarcimento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danno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in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caso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illegittima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apposizione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termine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>.</w:t>
      </w:r>
    </w:p>
    <w:p w14:paraId="363E70D8" w14:textId="77777777" w:rsidR="00AC4D4D" w:rsidRDefault="00AC4D4D" w:rsidP="00AC4D4D">
      <w:pPr>
        <w:spacing w:line="360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Per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il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dipendete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pubblico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l’indennizzo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ex art. 32, comma 5, è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visto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in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chiave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agevolativa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e di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maggior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tutela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rispetto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al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dipendete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privato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nel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senso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risulta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assolto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l’onere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della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prova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danno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grava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sul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lavoratore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il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lavoratore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pubblico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ha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diritto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a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tutto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il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risarcimento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danno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ed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è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sollevato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dall’onere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probatorio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della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dimostrazione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del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danno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stesso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, non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gli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è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precluso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per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altro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provare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le chances di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lavoro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ha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perso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perché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legato da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reiterati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contratti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a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termine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,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si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traducano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anche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in un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danno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patrimoniale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più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elevato</w:t>
      </w:r>
      <w:proofErr w:type="spellEnd"/>
      <w:r>
        <w:rPr>
          <w:rFonts w:ascii="Palatino Linotype" w:hAnsi="Palatino Linotype"/>
          <w:bCs/>
          <w:sz w:val="24"/>
          <w:szCs w:val="24"/>
        </w:rPr>
        <w:t>.</w:t>
      </w:r>
    </w:p>
    <w:p w14:paraId="147BEAC9" w14:textId="77777777" w:rsidR="00AC4D4D" w:rsidRDefault="00AC4D4D" w:rsidP="00AC4D4D">
      <w:pPr>
        <w:spacing w:line="360" w:lineRule="auto"/>
        <w:jc w:val="both"/>
        <w:rPr>
          <w:rFonts w:ascii="Palatino Linotype" w:hAnsi="Palatino Linotype" w:cs="Arial"/>
          <w:i w:val="0"/>
          <w:color w:val="333333"/>
          <w:sz w:val="24"/>
          <w:szCs w:val="24"/>
        </w:rPr>
      </w:pPr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La Corte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quindi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rinvia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alla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corte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di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appello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di Genova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l’impugnata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pronuncia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che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dovrà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adeguarsi</w:t>
      </w:r>
      <w:proofErr w:type="spellEnd"/>
      <w:r w:rsidRPr="000F19A2">
        <w:rPr>
          <w:rFonts w:ascii="Palatino Linotype" w:hAnsi="Palatino Linotype"/>
          <w:bCs/>
          <w:i w:val="0"/>
          <w:sz w:val="24"/>
          <w:szCs w:val="24"/>
        </w:rPr>
        <w:t xml:space="preserve"> al principio di </w:t>
      </w:r>
      <w:proofErr w:type="spellStart"/>
      <w:r w:rsidRPr="000F19A2">
        <w:rPr>
          <w:rFonts w:ascii="Palatino Linotype" w:hAnsi="Palatino Linotype"/>
          <w:bCs/>
          <w:i w:val="0"/>
          <w:sz w:val="24"/>
          <w:szCs w:val="24"/>
        </w:rPr>
        <w:t>diritto</w:t>
      </w:r>
      <w:proofErr w:type="spellEnd"/>
      <w:r>
        <w:rPr>
          <w:rFonts w:ascii="Palatino Linotype" w:hAnsi="Palatino Linotype"/>
          <w:bCs/>
          <w:sz w:val="24"/>
          <w:szCs w:val="24"/>
        </w:rPr>
        <w:t xml:space="preserve">:  </w:t>
      </w:r>
      <w:r w:rsidRPr="000F6BBB">
        <w:rPr>
          <w:rFonts w:ascii="Palatino Linotype" w:hAnsi="Palatino Linotype"/>
          <w:bCs/>
          <w:sz w:val="24"/>
          <w:szCs w:val="24"/>
        </w:rPr>
        <w:t>“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Nel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regime del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lavoro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pubblico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contrattualizzato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in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caso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di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abuso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del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ricorso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al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contratto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di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lavoro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a tempo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determinato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da parte di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una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pubblica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amministrazione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il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dipendente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,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che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abbia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subito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la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illegittima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precarizzazione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del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rapporto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di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impiego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, ha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diritto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,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fermo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restando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il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divieto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di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trasformazione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del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contratto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di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lavoro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da tempo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determinato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a tempo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indeterminato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posto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dall'art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. 36, comma 5,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d.lgs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. 30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marzo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r w:rsidRPr="000F19A2">
        <w:rPr>
          <w:rFonts w:ascii="Palatino Linotype" w:hAnsi="Palatino Linotype" w:cs="Arial"/>
          <w:color w:val="333333"/>
          <w:sz w:val="24"/>
          <w:szCs w:val="24"/>
        </w:rPr>
        <w:lastRenderedPageBreak/>
        <w:t xml:space="preserve">2001 n. 165, al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risarcimento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del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danno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previsto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dalla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medesima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disposizione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con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esonero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dall'onere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probatorio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nella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misura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e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nei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limiti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di cui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all'art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. 32, comma 5,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legge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4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novembre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2010, n. 183, e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quindi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nella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misura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pari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ad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un'indennità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onnicomprensiva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tra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un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minimo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di 2,5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ed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un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massimo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di 12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mensilità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dell'ultima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retribuzione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globale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di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fatto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,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avuto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riguardo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ai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criteri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indicati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nell'art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. 8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legge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15 </w:t>
      </w:r>
      <w:proofErr w:type="spellStart"/>
      <w:r w:rsidRPr="000F19A2">
        <w:rPr>
          <w:rFonts w:ascii="Palatino Linotype" w:hAnsi="Palatino Linotype" w:cs="Arial"/>
          <w:color w:val="333333"/>
          <w:sz w:val="24"/>
          <w:szCs w:val="24"/>
        </w:rPr>
        <w:t>luglio</w:t>
      </w:r>
      <w:proofErr w:type="spellEnd"/>
      <w:r w:rsidRPr="000F19A2">
        <w:rPr>
          <w:rFonts w:ascii="Palatino Linotype" w:hAnsi="Palatino Linotype" w:cs="Arial"/>
          <w:color w:val="333333"/>
          <w:sz w:val="24"/>
          <w:szCs w:val="24"/>
        </w:rPr>
        <w:t xml:space="preserve"> 1966, n. 604</w:t>
      </w:r>
      <w:r w:rsidRPr="000F6BBB">
        <w:rPr>
          <w:rFonts w:ascii="Palatino Linotype" w:hAnsi="Palatino Linotype" w:cs="Arial"/>
          <w:i w:val="0"/>
          <w:color w:val="333333"/>
          <w:sz w:val="24"/>
          <w:szCs w:val="24"/>
        </w:rPr>
        <w:t>”.</w:t>
      </w:r>
    </w:p>
    <w:p w14:paraId="1BB7CA5A" w14:textId="77777777" w:rsidR="000F19A2" w:rsidRDefault="000F19A2" w:rsidP="00AC4D4D">
      <w:pPr>
        <w:spacing w:line="360" w:lineRule="auto"/>
        <w:jc w:val="both"/>
        <w:rPr>
          <w:rFonts w:ascii="Palatino Linotype" w:hAnsi="Palatino Linotype" w:cs="Arial"/>
          <w:i w:val="0"/>
          <w:color w:val="333333"/>
          <w:sz w:val="24"/>
          <w:szCs w:val="24"/>
        </w:rPr>
      </w:pPr>
    </w:p>
    <w:p w14:paraId="74DAAE7E" w14:textId="046502C6" w:rsidR="000F19A2" w:rsidRDefault="000F19A2" w:rsidP="00927BF3">
      <w:pPr>
        <w:spacing w:line="360" w:lineRule="auto"/>
        <w:ind w:left="4248" w:firstLine="708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 w:cs="Arial"/>
          <w:i w:val="0"/>
          <w:color w:val="333333"/>
          <w:sz w:val="24"/>
          <w:szCs w:val="24"/>
        </w:rPr>
        <w:t xml:space="preserve">Il </w:t>
      </w:r>
      <w:proofErr w:type="spellStart"/>
      <w:r>
        <w:rPr>
          <w:rFonts w:ascii="Palatino Linotype" w:hAnsi="Palatino Linotype" w:cs="Arial"/>
          <w:i w:val="0"/>
          <w:color w:val="333333"/>
          <w:sz w:val="24"/>
          <w:szCs w:val="24"/>
        </w:rPr>
        <w:t>direttivo</w:t>
      </w:r>
      <w:proofErr w:type="spellEnd"/>
      <w:r>
        <w:rPr>
          <w:rFonts w:ascii="Palatino Linotype" w:hAnsi="Palatino Linotype" w:cs="Arial"/>
          <w:i w:val="0"/>
          <w:color w:val="333333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Arial"/>
          <w:i w:val="0"/>
          <w:color w:val="333333"/>
          <w:sz w:val="24"/>
          <w:szCs w:val="24"/>
        </w:rPr>
        <w:t>nazionale</w:t>
      </w:r>
      <w:proofErr w:type="spellEnd"/>
      <w:r>
        <w:rPr>
          <w:rFonts w:ascii="Palatino Linotype" w:hAnsi="Palatino Linotype" w:cs="Arial"/>
          <w:i w:val="0"/>
          <w:color w:val="333333"/>
          <w:sz w:val="24"/>
          <w:szCs w:val="24"/>
        </w:rPr>
        <w:t xml:space="preserve"> AADI</w:t>
      </w:r>
    </w:p>
    <w:p w14:paraId="70EACC1A" w14:textId="77777777" w:rsidR="00AC4D4D" w:rsidRDefault="00AC4D4D" w:rsidP="00AC4D4D">
      <w:pPr>
        <w:spacing w:line="36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7AA4EC4A" w14:textId="77777777" w:rsidR="00AC4D4D" w:rsidRDefault="00AC4D4D" w:rsidP="00AC4D4D">
      <w:pPr>
        <w:spacing w:line="36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5296F5C9" w14:textId="77777777" w:rsidR="00F86324" w:rsidRPr="00F86324" w:rsidRDefault="00F86324">
      <w:pPr>
        <w:spacing w:after="0" w:line="1278" w:lineRule="exact"/>
        <w:rPr>
          <w:i w:val="0"/>
          <w:sz w:val="24"/>
          <w:szCs w:val="24"/>
        </w:rPr>
      </w:pPr>
    </w:p>
    <w:sectPr w:rsidR="00F86324" w:rsidRPr="00F86324" w:rsidSect="000F67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23"/>
    <w:rsid w:val="000F19A2"/>
    <w:rsid w:val="000F67D7"/>
    <w:rsid w:val="003A0B9B"/>
    <w:rsid w:val="004D76E7"/>
    <w:rsid w:val="004F1957"/>
    <w:rsid w:val="005D6AFE"/>
    <w:rsid w:val="0064277F"/>
    <w:rsid w:val="006B14A1"/>
    <w:rsid w:val="00883694"/>
    <w:rsid w:val="00927BF3"/>
    <w:rsid w:val="00AC4D4D"/>
    <w:rsid w:val="00AF4FA4"/>
    <w:rsid w:val="00B0157C"/>
    <w:rsid w:val="00BF3923"/>
    <w:rsid w:val="00CF6315"/>
    <w:rsid w:val="00DA0AFC"/>
    <w:rsid w:val="00DD5F91"/>
    <w:rsid w:val="00E94C87"/>
    <w:rsid w:val="00F25B03"/>
    <w:rsid w:val="00F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DF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F67D7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67D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67D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67D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F67D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F67D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F67D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F67D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F67D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F67D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7D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67D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67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67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F67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F67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F67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F67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F67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F67D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F67D7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F67D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0F67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F67D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F67D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0F67D7"/>
    <w:rPr>
      <w:b/>
      <w:bCs/>
      <w:spacing w:val="0"/>
    </w:rPr>
  </w:style>
  <w:style w:type="character" w:styleId="Enfasicorsivo">
    <w:name w:val="Emphasis"/>
    <w:uiPriority w:val="20"/>
    <w:qFormat/>
    <w:rsid w:val="000F67D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0F67D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F67D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F67D7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F67D7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67D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67D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0F67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0F67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0F67D7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0F67D7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0F67D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F67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00B4C-7E9C-1442-B438-5E9A521D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1215</Words>
  <Characters>6930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maurodifresco@gmail.com</dc:creator>
  <cp:lastModifiedBy>lotar69@gmail.com</cp:lastModifiedBy>
  <cp:revision>7</cp:revision>
  <dcterms:created xsi:type="dcterms:W3CDTF">2016-10-31T17:53:00Z</dcterms:created>
  <dcterms:modified xsi:type="dcterms:W3CDTF">2016-11-14T14:43:00Z</dcterms:modified>
</cp:coreProperties>
</file>